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1F" w:rsidRDefault="00CE5E51" w:rsidP="002B626E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2323735"/>
      <w:bookmarkStart w:id="1" w:name="_GoBack"/>
      <w:r>
        <w:rPr>
          <w:noProof/>
        </w:rPr>
        <w:drawing>
          <wp:inline distT="0" distB="0" distL="0" distR="0">
            <wp:extent cx="6187786" cy="8743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65" cy="87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75080C" w:rsidRPr="002B626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02CEA" w:rsidRPr="002B626E" w:rsidRDefault="00D02CEA" w:rsidP="002B626E">
      <w:pPr>
        <w:spacing w:after="0" w:line="264" w:lineRule="auto"/>
        <w:jc w:val="both"/>
      </w:pPr>
    </w:p>
    <w:p w:rsidR="00D02CEA" w:rsidRPr="00D02CEA" w:rsidRDefault="0075080C" w:rsidP="00D02CE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2B626E">
        <w:rPr>
          <w:rFonts w:ascii="Times New Roman" w:hAnsi="Times New Roman"/>
          <w:color w:val="000000"/>
          <w:sz w:val="28"/>
        </w:rPr>
        <w:t>​</w:t>
      </w:r>
      <w:r w:rsidR="00D02CEA">
        <w:rPr>
          <w:rFonts w:ascii="Times New Roman" w:hAnsi="Times New Roman"/>
          <w:color w:val="000000"/>
          <w:sz w:val="28"/>
        </w:rPr>
        <w:tab/>
      </w:r>
      <w:r w:rsidR="00D02CEA" w:rsidRPr="00D02CEA">
        <w:t xml:space="preserve"> </w:t>
      </w:r>
      <w:r w:rsidR="00D02CEA" w:rsidRPr="00D02CEA">
        <w:rPr>
          <w:rFonts w:ascii="Times New Roman" w:hAnsi="Times New Roman"/>
          <w:color w:val="000000"/>
          <w:sz w:val="28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</w:t>
      </w:r>
      <w:proofErr w:type="gramStart"/>
      <w:r w:rsidR="00D02CEA" w:rsidRPr="00D02CEA">
        <w:rPr>
          <w:rFonts w:ascii="Times New Roman" w:hAnsi="Times New Roman"/>
          <w:color w:val="000000"/>
          <w:sz w:val="28"/>
        </w:rPr>
        <w:t>» .</w:t>
      </w:r>
      <w:proofErr w:type="gramEnd"/>
      <w:r w:rsidR="00D02CEA" w:rsidRPr="00D02CEA">
        <w:rPr>
          <w:rFonts w:ascii="Times New Roman" w:hAnsi="Times New Roman"/>
          <w:color w:val="000000"/>
          <w:sz w:val="28"/>
        </w:rPr>
        <w:t xml:space="preserve"> Образовательная программа  позволяет интегрировать реализуемые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 . Использование оборудования «Точка роста» при реализации данной ОП позволяет создать условия:</w:t>
      </w:r>
    </w:p>
    <w:p w:rsidR="00D02CEA" w:rsidRPr="00D02CEA" w:rsidRDefault="00D02CEA" w:rsidP="00D02CE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2CEA">
        <w:rPr>
          <w:rFonts w:ascii="Times New Roman" w:hAnsi="Times New Roman"/>
          <w:color w:val="000000"/>
          <w:sz w:val="28"/>
        </w:rPr>
        <w:t xml:space="preserve"> •</w:t>
      </w:r>
      <w:r w:rsidRPr="00D02CEA">
        <w:rPr>
          <w:rFonts w:ascii="Times New Roman" w:hAnsi="Times New Roman"/>
          <w:color w:val="000000"/>
          <w:sz w:val="28"/>
        </w:rPr>
        <w:tab/>
        <w:t xml:space="preserve">для расширения содержания школьного химического образования; </w:t>
      </w:r>
    </w:p>
    <w:p w:rsidR="00D02CEA" w:rsidRPr="00D02CEA" w:rsidRDefault="00D02CEA" w:rsidP="00D02CE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2CEA">
        <w:rPr>
          <w:rFonts w:ascii="Times New Roman" w:hAnsi="Times New Roman"/>
          <w:color w:val="000000"/>
          <w:sz w:val="28"/>
        </w:rPr>
        <w:t>•</w:t>
      </w:r>
      <w:r w:rsidRPr="00D02CEA">
        <w:rPr>
          <w:rFonts w:ascii="Times New Roman" w:hAnsi="Times New Roman"/>
          <w:color w:val="000000"/>
          <w:sz w:val="28"/>
        </w:rPr>
        <w:tab/>
        <w:t xml:space="preserve">для повышения познавательной активности обучающихся в естественно-научной области; </w:t>
      </w:r>
    </w:p>
    <w:p w:rsidR="00D02CEA" w:rsidRPr="00D02CEA" w:rsidRDefault="00D02CEA" w:rsidP="00D02CE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D02CEA">
        <w:rPr>
          <w:rFonts w:ascii="Times New Roman" w:hAnsi="Times New Roman"/>
          <w:color w:val="000000"/>
          <w:sz w:val="28"/>
        </w:rPr>
        <w:t>•</w:t>
      </w:r>
      <w:r w:rsidRPr="00D02CEA">
        <w:rPr>
          <w:rFonts w:ascii="Times New Roman" w:hAnsi="Times New Roman"/>
          <w:color w:val="000000"/>
          <w:sz w:val="28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AC661F" w:rsidRPr="002B626E" w:rsidRDefault="00D02CEA" w:rsidP="00D02CEA">
      <w:pPr>
        <w:spacing w:after="0" w:line="264" w:lineRule="auto"/>
        <w:ind w:left="120"/>
        <w:jc w:val="both"/>
      </w:pPr>
      <w:r w:rsidRPr="00D02CEA">
        <w:rPr>
          <w:rFonts w:ascii="Times New Roman" w:hAnsi="Times New Roman"/>
          <w:color w:val="000000"/>
          <w:sz w:val="28"/>
        </w:rPr>
        <w:t>•</w:t>
      </w:r>
      <w:r w:rsidRPr="00D02CEA">
        <w:rPr>
          <w:rFonts w:ascii="Times New Roman" w:hAnsi="Times New Roman"/>
          <w:color w:val="000000"/>
          <w:sz w:val="28"/>
        </w:rPr>
        <w:tab/>
        <w:t xml:space="preserve">для работы с одарёнными школьниками, организации их развития в различных областях образовательной, творческой </w:t>
      </w:r>
      <w:proofErr w:type="gramStart"/>
      <w:r w:rsidRPr="00D02CEA">
        <w:rPr>
          <w:rFonts w:ascii="Times New Roman" w:hAnsi="Times New Roman"/>
          <w:color w:val="000000"/>
          <w:sz w:val="28"/>
        </w:rPr>
        <w:t>деятельности .</w:t>
      </w:r>
      <w:proofErr w:type="gramEnd"/>
    </w:p>
    <w:p w:rsidR="00D02CEA" w:rsidRDefault="00D02CE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</w:t>
      </w:r>
      <w:r w:rsidRPr="002B626E">
        <w:rPr>
          <w:rFonts w:ascii="Times New Roman" w:hAnsi="Times New Roman"/>
          <w:color w:val="000000"/>
          <w:sz w:val="28"/>
        </w:rPr>
        <w:lastRenderedPageBreak/>
        <w:t>видов учебно-познавательной деятельности обучающегося по освоению учебного содержания.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атомно­-молекулярного учения как основы всего естествознания;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lastRenderedPageBreak/>
        <w:t>–</w:t>
      </w:r>
      <w:r w:rsidRPr="002B626E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C661F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</w:t>
      </w:r>
      <w:r w:rsidRPr="002B626E">
        <w:rPr>
          <w:rFonts w:ascii="Times New Roman" w:hAnsi="Times New Roman"/>
          <w:color w:val="000000"/>
          <w:sz w:val="28"/>
        </w:rPr>
        <w:lastRenderedPageBreak/>
        <w:t>химии, применять их при решении проблем в повседневной жизни и трудовой деятельности;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000000"/>
          <w:sz w:val="28"/>
        </w:rPr>
        <w:t>–</w:t>
      </w:r>
      <w:r w:rsidRPr="002B626E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Calibri" w:hAnsi="Calibri"/>
          <w:color w:val="333333"/>
          <w:sz w:val="28"/>
        </w:rPr>
        <w:t>–</w:t>
      </w:r>
      <w:r w:rsidRPr="002B626E">
        <w:rPr>
          <w:rFonts w:ascii="Times New Roman" w:hAnsi="Times New Roman"/>
          <w:color w:val="333333"/>
          <w:sz w:val="28"/>
        </w:rPr>
        <w:t xml:space="preserve"> </w:t>
      </w:r>
      <w:r w:rsidRPr="002B626E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​‌</w:t>
      </w:r>
      <w:bookmarkStart w:id="2" w:name="9012e5c9-2e66-40e9-9799-caf6f2595164"/>
      <w:r w:rsidRPr="002B626E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</w:t>
      </w:r>
      <w:r w:rsidR="009F380A">
        <w:rPr>
          <w:rFonts w:ascii="Times New Roman" w:hAnsi="Times New Roman"/>
          <w:color w:val="000000"/>
          <w:sz w:val="28"/>
        </w:rPr>
        <w:t>3</w:t>
      </w:r>
      <w:r w:rsidRPr="002B626E">
        <w:rPr>
          <w:rFonts w:ascii="Times New Roman" w:hAnsi="Times New Roman"/>
          <w:color w:val="000000"/>
          <w:sz w:val="28"/>
        </w:rPr>
        <w:t xml:space="preserve"> часов: в 8 классе – 68 часов (2 часа в неделю), в 9 классе – 6</w:t>
      </w:r>
      <w:r w:rsidR="009F380A">
        <w:rPr>
          <w:rFonts w:ascii="Times New Roman" w:hAnsi="Times New Roman"/>
          <w:color w:val="000000"/>
          <w:sz w:val="28"/>
        </w:rPr>
        <w:t>5</w:t>
      </w:r>
      <w:r w:rsidRPr="002B626E">
        <w:rPr>
          <w:rFonts w:ascii="Times New Roman" w:hAnsi="Times New Roman"/>
          <w:color w:val="000000"/>
          <w:sz w:val="28"/>
        </w:rPr>
        <w:t xml:space="preserve"> часов (2 часа в неделю</w:t>
      </w:r>
      <w:proofErr w:type="gramStart"/>
      <w:r w:rsidRPr="002B626E">
        <w:rPr>
          <w:rFonts w:ascii="Times New Roman" w:hAnsi="Times New Roman"/>
          <w:color w:val="000000"/>
          <w:sz w:val="28"/>
        </w:rPr>
        <w:t>).</w:t>
      </w:r>
      <w:bookmarkEnd w:id="2"/>
      <w:r w:rsidRPr="002B626E">
        <w:rPr>
          <w:rFonts w:ascii="Times New Roman" w:hAnsi="Times New Roman"/>
          <w:color w:val="000000"/>
          <w:sz w:val="28"/>
        </w:rPr>
        <w:t>‌</w:t>
      </w:r>
      <w:proofErr w:type="gramEnd"/>
      <w:r w:rsidRPr="002B626E">
        <w:rPr>
          <w:rFonts w:ascii="Times New Roman" w:hAnsi="Times New Roman"/>
          <w:color w:val="000000"/>
          <w:sz w:val="28"/>
        </w:rPr>
        <w:t>‌</w:t>
      </w:r>
    </w:p>
    <w:p w:rsidR="00AC661F" w:rsidRPr="002B626E" w:rsidRDefault="0075080C">
      <w:pPr>
        <w:spacing w:after="0" w:line="264" w:lineRule="auto"/>
        <w:ind w:left="120"/>
        <w:jc w:val="both"/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AC661F" w:rsidRPr="002B626E" w:rsidRDefault="0075080C">
      <w:pPr>
        <w:spacing w:after="0" w:line="264" w:lineRule="auto"/>
        <w:ind w:left="120"/>
        <w:jc w:val="both"/>
      </w:pPr>
      <w:r w:rsidRPr="002B626E">
        <w:rPr>
          <w:rFonts w:ascii="Times New Roman" w:hAnsi="Times New Roman"/>
          <w:color w:val="000000"/>
          <w:sz w:val="28"/>
        </w:rPr>
        <w:t>‌</w:t>
      </w:r>
    </w:p>
    <w:p w:rsidR="00AC661F" w:rsidRPr="002B626E" w:rsidRDefault="00AC661F">
      <w:pPr>
        <w:sectPr w:rsidR="00AC661F" w:rsidRPr="002B626E">
          <w:pgSz w:w="11906" w:h="16383"/>
          <w:pgMar w:top="1134" w:right="850" w:bottom="1134" w:left="1701" w:header="720" w:footer="720" w:gutter="0"/>
          <w:cols w:space="720"/>
        </w:sectPr>
      </w:pPr>
    </w:p>
    <w:p w:rsidR="00AC661F" w:rsidRPr="002B626E" w:rsidRDefault="0075080C">
      <w:pPr>
        <w:spacing w:after="0" w:line="264" w:lineRule="auto"/>
        <w:ind w:left="120"/>
        <w:jc w:val="both"/>
      </w:pPr>
      <w:bookmarkStart w:id="3" w:name="block-2323736"/>
      <w:bookmarkEnd w:id="0"/>
      <w:r w:rsidRPr="002B626E">
        <w:rPr>
          <w:rFonts w:ascii="Times New Roman" w:hAnsi="Times New Roman"/>
          <w:color w:val="000000"/>
          <w:sz w:val="28"/>
        </w:rPr>
        <w:lastRenderedPageBreak/>
        <w:t>​</w:t>
      </w:r>
      <w:r w:rsidRPr="002B626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C661F" w:rsidRPr="002B626E" w:rsidRDefault="0075080C">
      <w:pPr>
        <w:spacing w:after="0" w:line="264" w:lineRule="auto"/>
        <w:ind w:left="120"/>
        <w:jc w:val="both"/>
      </w:pPr>
      <w:r w:rsidRPr="002B626E">
        <w:rPr>
          <w:rFonts w:ascii="Times New Roman" w:hAnsi="Times New Roman"/>
          <w:color w:val="000000"/>
          <w:sz w:val="28"/>
        </w:rPr>
        <w:t>​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8 КЛАСС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B626E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2B626E">
        <w:rPr>
          <w:rFonts w:ascii="Times New Roman" w:hAnsi="Times New Roman"/>
          <w:color w:val="000000"/>
          <w:sz w:val="28"/>
        </w:rPr>
        <w:t>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</w:t>
      </w:r>
      <w:r w:rsidRPr="002B626E">
        <w:rPr>
          <w:rFonts w:ascii="Times New Roman" w:hAnsi="Times New Roman"/>
          <w:color w:val="000000"/>
          <w:sz w:val="28"/>
        </w:rPr>
        <w:lastRenderedPageBreak/>
        <w:t>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газы</w:t>
      </w:r>
      <w:proofErr w:type="spellEnd"/>
      <w:r w:rsidRPr="002B626E">
        <w:rPr>
          <w:rFonts w:ascii="Times New Roman" w:hAnsi="Times New Roman"/>
          <w:color w:val="000000"/>
          <w:sz w:val="28"/>
        </w:rPr>
        <w:t>). Элементы, которые образуют амфотерные оксиды и гидроксиды.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9 КЛАСС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окислительно­-восстановительных реакций с использованием метода электронного баланса.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 xml:space="preserve">Теория электролитической диссоциации. Электролиты и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B626E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2B626E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2B626E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B626E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2B626E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B626E">
        <w:rPr>
          <w:rFonts w:ascii="Times New Roman" w:hAnsi="Times New Roman"/>
          <w:color w:val="000000"/>
          <w:sz w:val="28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B626E">
        <w:rPr>
          <w:rFonts w:ascii="Times New Roman" w:hAnsi="Times New Roman"/>
          <w:color w:val="000000"/>
          <w:sz w:val="28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</w:t>
      </w:r>
      <w:r w:rsidRPr="002B626E">
        <w:rPr>
          <w:rFonts w:ascii="Times New Roman" w:hAnsi="Times New Roman"/>
          <w:color w:val="000000"/>
          <w:sz w:val="28"/>
        </w:rPr>
        <w:lastRenderedPageBreak/>
        <w:t>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</w:t>
      </w:r>
      <w:r w:rsidRPr="002B626E">
        <w:rPr>
          <w:rFonts w:ascii="Times New Roman" w:hAnsi="Times New Roman"/>
          <w:color w:val="000000"/>
          <w:sz w:val="28"/>
        </w:rPr>
        <w:lastRenderedPageBreak/>
        <w:t>кальция. Важнейшие соединения кальция (оксид, гидроксид, соли). Жёсткость воды и способы её устранения.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B626E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B626E">
        <w:rPr>
          <w:rFonts w:ascii="Times New Roman" w:hAnsi="Times New Roman"/>
          <w:b/>
          <w:color w:val="000000"/>
          <w:sz w:val="28"/>
        </w:rPr>
        <w:t>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B626E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B626E">
        <w:rPr>
          <w:rFonts w:ascii="Times New Roman" w:hAnsi="Times New Roman"/>
          <w:color w:val="000000"/>
          <w:sz w:val="28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AC661F" w:rsidRPr="002B626E" w:rsidRDefault="0075080C" w:rsidP="002B626E">
      <w:pPr>
        <w:spacing w:after="0" w:line="264" w:lineRule="auto"/>
        <w:ind w:firstLine="600"/>
        <w:jc w:val="both"/>
        <w:sectPr w:rsidR="00AC661F" w:rsidRPr="002B626E">
          <w:pgSz w:w="11906" w:h="16383"/>
          <w:pgMar w:top="1134" w:right="850" w:bottom="1134" w:left="1701" w:header="720" w:footer="720" w:gutter="0"/>
          <w:cols w:space="720"/>
        </w:sectPr>
      </w:pPr>
      <w:r w:rsidRPr="002B626E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AC661F" w:rsidRPr="002B626E" w:rsidRDefault="0075080C" w:rsidP="002B626E">
      <w:pPr>
        <w:spacing w:after="0" w:line="264" w:lineRule="auto"/>
        <w:jc w:val="both"/>
      </w:pPr>
      <w:bookmarkStart w:id="4" w:name="block-2323738"/>
      <w:bookmarkEnd w:id="3"/>
      <w:r w:rsidRPr="002B626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AC661F" w:rsidRPr="002B626E" w:rsidRDefault="00AC661F">
      <w:pPr>
        <w:spacing w:after="0" w:line="264" w:lineRule="auto"/>
        <w:ind w:left="120"/>
        <w:jc w:val="both"/>
      </w:pP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1)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2)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2B626E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3)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2B626E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C661F" w:rsidRPr="002B626E" w:rsidRDefault="0075080C">
      <w:pPr>
        <w:spacing w:after="0" w:line="264" w:lineRule="auto"/>
        <w:ind w:firstLine="600"/>
        <w:jc w:val="both"/>
      </w:pPr>
      <w:bookmarkStart w:id="5" w:name="_Toc138318759"/>
      <w:bookmarkEnd w:id="5"/>
      <w:r w:rsidRPr="002B626E">
        <w:rPr>
          <w:rFonts w:ascii="Times New Roman" w:hAnsi="Times New Roman"/>
          <w:b/>
          <w:color w:val="000000"/>
          <w:sz w:val="28"/>
        </w:rPr>
        <w:t>4)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5)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6)</w:t>
      </w:r>
      <w:r w:rsidRPr="002B626E">
        <w:rPr>
          <w:rFonts w:ascii="Times New Roman" w:hAnsi="Times New Roman"/>
          <w:color w:val="000000"/>
          <w:sz w:val="28"/>
        </w:rPr>
        <w:t xml:space="preserve"> </w:t>
      </w:r>
      <w:r w:rsidRPr="002B626E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2B626E">
        <w:rPr>
          <w:rFonts w:ascii="Times New Roman" w:hAnsi="Times New Roman"/>
          <w:color w:val="000000"/>
          <w:sz w:val="28"/>
        </w:rPr>
        <w:t>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2B626E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 концу обучения в</w:t>
      </w:r>
      <w:r w:rsidRPr="002B626E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2B626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2B626E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2B626E"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AC661F" w:rsidRPr="002B626E" w:rsidRDefault="0075080C">
      <w:pPr>
        <w:numPr>
          <w:ilvl w:val="0"/>
          <w:numId w:val="1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AC661F" w:rsidRPr="002B626E" w:rsidRDefault="0075080C">
      <w:pPr>
        <w:spacing w:after="0" w:line="264" w:lineRule="auto"/>
        <w:ind w:firstLine="600"/>
        <w:jc w:val="both"/>
      </w:pPr>
      <w:r w:rsidRPr="002B626E">
        <w:rPr>
          <w:rFonts w:ascii="Times New Roman" w:hAnsi="Times New Roman"/>
          <w:color w:val="000000"/>
          <w:sz w:val="28"/>
        </w:rPr>
        <w:t>К концу обучения в</w:t>
      </w:r>
      <w:r w:rsidRPr="002B626E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2B626E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B626E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B626E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2B626E"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2B626E"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AC661F" w:rsidRPr="002B626E" w:rsidRDefault="0075080C">
      <w:pPr>
        <w:numPr>
          <w:ilvl w:val="0"/>
          <w:numId w:val="2"/>
        </w:numPr>
        <w:spacing w:after="0" w:line="264" w:lineRule="auto"/>
        <w:jc w:val="both"/>
      </w:pPr>
      <w:r w:rsidRPr="002B626E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AC661F" w:rsidRPr="002B626E" w:rsidRDefault="00AC661F">
      <w:pPr>
        <w:sectPr w:rsidR="00AC661F" w:rsidRPr="002B626E">
          <w:pgSz w:w="11906" w:h="16383"/>
          <w:pgMar w:top="1134" w:right="850" w:bottom="1134" w:left="1701" w:header="720" w:footer="720" w:gutter="0"/>
          <w:cols w:space="720"/>
        </w:sectPr>
      </w:pPr>
    </w:p>
    <w:p w:rsidR="00AC661F" w:rsidRDefault="0075080C">
      <w:pPr>
        <w:spacing w:after="0"/>
        <w:ind w:left="120"/>
      </w:pPr>
      <w:bookmarkStart w:id="8" w:name="block-2323733"/>
      <w:bookmarkEnd w:id="4"/>
      <w:r w:rsidRPr="002B626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AC661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61F" w:rsidRDefault="00AC661F">
            <w:pPr>
              <w:spacing w:after="0"/>
              <w:ind w:left="135"/>
            </w:pPr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proofErr w:type="spellStart"/>
            <w:r w:rsidRPr="002B626E">
              <w:rPr>
                <w:rFonts w:ascii="Times New Roman" w:hAnsi="Times New Roman"/>
                <w:color w:val="000000"/>
                <w:sz w:val="24"/>
              </w:rPr>
              <w:t>Водород.Понятие</w:t>
            </w:r>
            <w:proofErr w:type="spell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</w:tbl>
    <w:p w:rsidR="00AC661F" w:rsidRDefault="00AC661F">
      <w:pPr>
        <w:sectPr w:rsidR="00AC6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AC661F" w:rsidTr="009F380A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661F" w:rsidRDefault="00AC661F">
            <w:pPr>
              <w:spacing w:after="0"/>
              <w:ind w:left="135"/>
            </w:pPr>
          </w:p>
        </w:tc>
      </w:tr>
      <w:tr w:rsidR="00AC661F" w:rsidTr="009F3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Tr="009F3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 w:rsidRPr="002B626E"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Tr="009F3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Tr="009F3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B626E"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AC661F" w:rsidRPr="002B626E" w:rsidTr="009F380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AC661F" w:rsidTr="009F3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80A" w:rsidRDefault="009F380A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80A" w:rsidRDefault="009F380A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380A" w:rsidRDefault="009F3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380A" w:rsidRDefault="009F3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380A" w:rsidRPr="002B626E" w:rsidRDefault="009F380A">
            <w:pPr>
              <w:spacing w:after="0"/>
              <w:ind w:left="135"/>
            </w:pPr>
          </w:p>
        </w:tc>
      </w:tr>
      <w:tr w:rsidR="009F380A" w:rsidTr="009F38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80A" w:rsidRPr="002B626E" w:rsidRDefault="009F380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380A" w:rsidRDefault="009F380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380A" w:rsidRDefault="009F38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380A" w:rsidRDefault="009F380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380A" w:rsidRDefault="009F380A"/>
        </w:tc>
      </w:tr>
    </w:tbl>
    <w:p w:rsidR="00AC661F" w:rsidRPr="002B626E" w:rsidRDefault="00AC661F">
      <w:pPr>
        <w:sectPr w:rsidR="00AC661F" w:rsidRPr="002B62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661F" w:rsidRDefault="0075080C" w:rsidP="002B626E">
      <w:pPr>
        <w:spacing w:after="0"/>
      </w:pPr>
      <w:bookmarkStart w:id="9" w:name="block-23237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987"/>
        <w:gridCol w:w="1045"/>
        <w:gridCol w:w="1841"/>
        <w:gridCol w:w="1910"/>
        <w:gridCol w:w="1423"/>
        <w:gridCol w:w="2861"/>
      </w:tblGrid>
      <w:tr w:rsidR="00AC661F">
        <w:trPr>
          <w:trHeight w:val="144"/>
          <w:tblCellSpacing w:w="20" w:type="nil"/>
        </w:trPr>
        <w:tc>
          <w:tcPr>
            <w:tcW w:w="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61F" w:rsidRDefault="00AC661F">
            <w:pPr>
              <w:spacing w:after="0"/>
              <w:ind w:left="135"/>
            </w:pPr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210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75080C">
              <w:rPr>
                <w:rFonts w:ascii="Times New Roman" w:hAnsi="Times New Roman"/>
                <w:color w:val="000000"/>
                <w:sz w:val="24"/>
              </w:rPr>
              <w:t>.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01</w:t>
            </w:r>
            <w:r w:rsidR="0075080C"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4</w:t>
            </w:r>
            <w:r w:rsidR="007508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12B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27.02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5379AF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0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2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0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486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1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21066B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C661F" w:rsidRPr="002B626E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C6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661F" w:rsidRDefault="00AC661F"/>
        </w:tc>
      </w:tr>
    </w:tbl>
    <w:p w:rsidR="002B626E" w:rsidRDefault="002B626E">
      <w:pPr>
        <w:spacing w:after="0"/>
        <w:ind w:left="120"/>
      </w:pPr>
    </w:p>
    <w:p w:rsidR="00AC661F" w:rsidRDefault="007508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2893"/>
        <w:gridCol w:w="1004"/>
        <w:gridCol w:w="1841"/>
        <w:gridCol w:w="1910"/>
        <w:gridCol w:w="1423"/>
        <w:gridCol w:w="3024"/>
      </w:tblGrid>
      <w:tr w:rsidR="009F380A" w:rsidTr="009F380A">
        <w:trPr>
          <w:trHeight w:val="144"/>
          <w:tblCellSpacing w:w="20" w:type="nil"/>
        </w:trPr>
        <w:tc>
          <w:tcPr>
            <w:tcW w:w="1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3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661F" w:rsidRDefault="00AC661F">
            <w:pPr>
              <w:spacing w:after="0"/>
              <w:ind w:left="135"/>
            </w:pPr>
          </w:p>
        </w:tc>
      </w:tr>
      <w:tr w:rsidR="009F380A" w:rsidTr="009F38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661F" w:rsidRDefault="00AC6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661F" w:rsidRDefault="00AC661F"/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закон. Периодическая система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химических элементов Д. И. Менделеева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F380A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D02CEA" w:rsidRDefault="00F86BD8">
            <w:pPr>
              <w:spacing w:after="0"/>
              <w:ind w:left="135"/>
            </w:pPr>
            <w:r w:rsidRPr="00F86BD8">
              <w:t xml:space="preserve">Библиотека ЦОК </w:t>
            </w:r>
            <w:hyperlink r:id="rId98" w:history="1">
              <w:r w:rsidRPr="00471F55">
                <w:rPr>
                  <w:rStyle w:val="ab"/>
                </w:rPr>
                <w:t>https://m.edsoo.ru/00adbcb0</w:t>
              </w:r>
            </w:hyperlink>
            <w:r w:rsidRPr="00D02CEA">
              <w:t xml:space="preserve"> </w:t>
            </w:r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и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 химического равновесия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1. «Решение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экспериментальных задач»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Нахождение серы и её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Аммиак, его физические и химические свойства,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получение и применение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306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Углерод, распространение в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природе, физические и химические свойства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1278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B17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  <w:r w:rsidR="0075080C">
              <w:rPr>
                <w:rFonts w:ascii="Times New Roman" w:hAnsi="Times New Roman"/>
                <w:color w:val="000000"/>
                <w:sz w:val="24"/>
              </w:rPr>
              <w:t xml:space="preserve">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F380A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Default="00AC661F">
            <w:pPr>
              <w:spacing w:after="0"/>
              <w:ind w:left="135"/>
            </w:pPr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1886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 w:rsidP="009F380A">
            <w:pPr>
              <w:spacing w:after="0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F380A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Default="009F380A">
            <w:pPr>
              <w:spacing w:after="0"/>
              <w:ind w:left="135"/>
            </w:pPr>
            <w:r w:rsidRPr="009F380A">
              <w:t xml:space="preserve">Библиотека ЦОК </w:t>
            </w:r>
            <w:hyperlink r:id="rId150" w:history="1">
              <w:r w:rsidRPr="00DE4266">
                <w:rPr>
                  <w:rStyle w:val="ab"/>
                </w:rPr>
                <w:t>https://m.edsoo.ru/00adb33c</w:t>
              </w:r>
            </w:hyperlink>
            <w:r>
              <w:t xml:space="preserve"> </w:t>
            </w:r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7. Решение экспериментальных задач по теме </w:t>
            </w: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>«Важнейшие металлы и их соединения»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2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1750</w:t>
              </w:r>
            </w:hyperlink>
          </w:p>
        </w:tc>
      </w:tr>
      <w:tr w:rsidR="009F380A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Default="009F380A">
            <w:pPr>
              <w:spacing w:after="0"/>
              <w:ind w:left="135"/>
            </w:pPr>
            <w:r w:rsidRPr="009F380A">
              <w:t xml:space="preserve">Библиотека ЦОК </w:t>
            </w:r>
            <w:hyperlink r:id="rId153" w:history="1">
              <w:r w:rsidRPr="00DE4266">
                <w:rPr>
                  <w:rStyle w:val="ab"/>
                </w:rPr>
                <w:t>https://m.edsoo.ru/00adb33c</w:t>
              </w:r>
            </w:hyperlink>
            <w:r>
              <w:t xml:space="preserve">  </w:t>
            </w:r>
          </w:p>
        </w:tc>
      </w:tr>
      <w:tr w:rsidR="009F380A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B1728F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Default="009F380A">
            <w:pPr>
              <w:spacing w:after="0"/>
              <w:ind w:left="135"/>
            </w:pPr>
            <w:r w:rsidRPr="009F380A">
              <w:t xml:space="preserve">Библиотека ЦОК </w:t>
            </w:r>
            <w:hyperlink r:id="rId154" w:history="1">
              <w:r w:rsidRPr="00DE4266">
                <w:rPr>
                  <w:rStyle w:val="ab"/>
                </w:rPr>
                <w:t>https://m.edsoo.ru/00adb33c</w:t>
              </w:r>
            </w:hyperlink>
            <w:r>
              <w:t xml:space="preserve">  </w:t>
            </w:r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9F380A" w:rsidRPr="002B626E" w:rsidTr="009F380A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C661F" w:rsidRDefault="007508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F380A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AC661F" w:rsidRPr="002B626E" w:rsidRDefault="0075080C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626E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9F380A" w:rsidRPr="002B626E" w:rsidTr="009F380A">
        <w:trPr>
          <w:trHeight w:val="385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9F380A" w:rsidRDefault="009F380A">
            <w:pPr>
              <w:spacing w:after="0"/>
            </w:pPr>
            <w:r w:rsidRPr="009F380A">
              <w:rPr>
                <w:rFonts w:ascii="Times New Roman" w:hAnsi="Times New Roman"/>
                <w:color w:val="000000"/>
                <w:sz w:val="18"/>
              </w:rPr>
              <w:t>ОБЩЕЕ КОЛИЧЕСТВО ЧАСОВ ПО ПРОГРАММЕ</w:t>
            </w:r>
          </w:p>
        </w:tc>
        <w:tc>
          <w:tcPr>
            <w:tcW w:w="3006" w:type="dxa"/>
            <w:tcMar>
              <w:top w:w="50" w:type="dxa"/>
              <w:left w:w="100" w:type="dxa"/>
            </w:tcMar>
            <w:vAlign w:val="center"/>
          </w:tcPr>
          <w:p w:rsidR="009F380A" w:rsidRPr="002B626E" w:rsidRDefault="009F380A">
            <w:pPr>
              <w:spacing w:after="0"/>
              <w:ind w:left="135"/>
            </w:pPr>
            <w:r w:rsidRPr="002B62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F380A" w:rsidRDefault="009F3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380A" w:rsidRDefault="009F3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380A" w:rsidRDefault="009F38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F380A" w:rsidRDefault="009F380A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F380A" w:rsidRPr="002B626E" w:rsidRDefault="009F380A">
            <w:pPr>
              <w:spacing w:after="0"/>
              <w:ind w:left="135"/>
            </w:pPr>
          </w:p>
        </w:tc>
      </w:tr>
    </w:tbl>
    <w:p w:rsidR="00AC661F" w:rsidRPr="002B626E" w:rsidRDefault="00AC661F">
      <w:pPr>
        <w:sectPr w:rsidR="00AC661F" w:rsidRPr="002B626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F86BD8" w:rsidRDefault="00F86BD8" w:rsidP="00F86BD8">
      <w:pPr>
        <w:pStyle w:val="a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0"/>
          <w:rFonts w:eastAsiaTheme="majorEastAsia"/>
          <w:color w:val="333333"/>
        </w:rPr>
        <w:lastRenderedPageBreak/>
        <w:t>УЧЕБНО-МЕТОДИЧЕСКОЕ ОБЕСПЕЧЕНИЕ ОБРАЗОВАТЕЛЬНОГО ПРОЦЕССА</w:t>
      </w:r>
    </w:p>
    <w:p w:rsidR="00F86BD8" w:rsidRDefault="00F86BD8" w:rsidP="00F86BD8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0"/>
          <w:rFonts w:eastAsiaTheme="majorEastAsia"/>
          <w:caps/>
          <w:color w:val="000000"/>
        </w:rPr>
        <w:t>ОБЯЗАТЕЛЬНЫЕ УЧЕБНЫЕ МАТЕРИАЛЫ ДЛЯ УЧЕНИКА</w:t>
      </w:r>
    </w:p>
    <w:p w:rsidR="00F86BD8" w:rsidRDefault="00F86BD8" w:rsidP="00F86BD8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• Химия, 8 класс/ Рудзитис Г.Е., Фельдман Ф.Г.,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 Химия, 9 класс/ Рудзитис Г.Е., Фельдман Ф.Г., Акционерное общество «Издательство «</w:t>
      </w:r>
      <w:proofErr w:type="gramStart"/>
      <w:r>
        <w:rPr>
          <w:rStyle w:val="placeholder"/>
          <w:rFonts w:eastAsiaTheme="majorEastAsia"/>
          <w:color w:val="333333"/>
        </w:rPr>
        <w:t>Просвещение»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proofErr w:type="gramEnd"/>
      <w:r>
        <w:rPr>
          <w:color w:val="333333"/>
          <w:sz w:val="21"/>
          <w:szCs w:val="21"/>
        </w:rPr>
        <w:t>​</w:t>
      </w:r>
    </w:p>
    <w:p w:rsidR="00F86BD8" w:rsidRDefault="00F86BD8" w:rsidP="00F86BD8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таблицы: Периодическая система химических элементов Д. И. Менделеева, таблица растворимости, электрохимический ряд напряжения металлов</w:t>
      </w:r>
      <w:r>
        <w:rPr>
          <w:rStyle w:val="placeholder-mask"/>
          <w:rFonts w:eastAsiaTheme="majorEastAsia"/>
          <w:color w:val="333333"/>
        </w:rPr>
        <w:t>‌</w:t>
      </w:r>
    </w:p>
    <w:p w:rsidR="00F86BD8" w:rsidRDefault="00F86BD8" w:rsidP="00F86BD8">
      <w:pPr>
        <w:pStyle w:val="af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F86BD8" w:rsidRDefault="00F86BD8" w:rsidP="00F86BD8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0"/>
          <w:rFonts w:eastAsiaTheme="majorEastAsia"/>
          <w:caps/>
          <w:color w:val="000000"/>
        </w:rPr>
        <w:t>МЕТОДИЧЕСКИЕ МАТЕРИАЛЫ ДЛЯ УЧИТЕЛЯ</w:t>
      </w:r>
    </w:p>
    <w:p w:rsidR="00F86BD8" w:rsidRDefault="00F86BD8" w:rsidP="00F86BD8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https://iro-49.ru/wp-content/uploads/2023/04/Химия-базовый-уровень.-Реализация-требований-ФГОС-основного-общего-образования.-Методическое-пособие-для-учителя.pdf</w:t>
      </w:r>
      <w:r>
        <w:rPr>
          <w:rStyle w:val="placeholder-mask"/>
          <w:rFonts w:eastAsiaTheme="majorEastAsia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F86BD8" w:rsidRDefault="00F86BD8" w:rsidP="00F86BD8">
      <w:pPr>
        <w:pStyle w:val="af"/>
        <w:spacing w:before="240" w:beforeAutospacing="0" w:after="120" w:afterAutospacing="0"/>
        <w:rPr>
          <w:color w:val="333333"/>
          <w:sz w:val="21"/>
          <w:szCs w:val="21"/>
        </w:rPr>
      </w:pPr>
    </w:p>
    <w:p w:rsidR="00F86BD8" w:rsidRDefault="00F86BD8" w:rsidP="00F86BD8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0"/>
          <w:rFonts w:eastAsiaTheme="majorEastAsia"/>
          <w:caps/>
          <w:color w:val="000000"/>
        </w:rPr>
        <w:t>ЦИФРОВЫЕ ОБРАЗОВАТЕЛЬНЫЕ РЕСУРСЫ И РЕСУРСЫ СЕТИ ИНТЕРНЕТ</w:t>
      </w:r>
    </w:p>
    <w:p w:rsidR="00F86BD8" w:rsidRDefault="00F86BD8" w:rsidP="00F86BD8">
      <w:pPr>
        <w:pStyle w:val="af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rFonts w:eastAsiaTheme="majorEastAsia"/>
          <w:color w:val="333333"/>
        </w:rPr>
        <w:t>https://educont.ru/?utm_source=eljur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https://edu.skysmart.ru/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https://resh.edu.ru/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https://uchi.ru/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https://www.yaklass.ru/</w:t>
      </w:r>
      <w:r>
        <w:rPr>
          <w:color w:val="333333"/>
        </w:rPr>
        <w:br/>
      </w:r>
    </w:p>
    <w:p w:rsidR="0075080C" w:rsidRPr="002B626E" w:rsidRDefault="0075080C" w:rsidP="002B626E"/>
    <w:sectPr w:rsidR="0075080C" w:rsidRPr="002B62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B0988"/>
    <w:multiLevelType w:val="multilevel"/>
    <w:tmpl w:val="B9360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003048"/>
    <w:multiLevelType w:val="multilevel"/>
    <w:tmpl w:val="C762A6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1F"/>
    <w:rsid w:val="0021066B"/>
    <w:rsid w:val="00247755"/>
    <w:rsid w:val="002A12B4"/>
    <w:rsid w:val="002B626E"/>
    <w:rsid w:val="003502BF"/>
    <w:rsid w:val="005379AF"/>
    <w:rsid w:val="00594D74"/>
    <w:rsid w:val="0075080C"/>
    <w:rsid w:val="009F380A"/>
    <w:rsid w:val="00AC661F"/>
    <w:rsid w:val="00B1728F"/>
    <w:rsid w:val="00CE5E51"/>
    <w:rsid w:val="00D02CEA"/>
    <w:rsid w:val="00F8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B220-6B11-45CA-BA1D-A8C3DAB0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F380A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F8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F86BD8"/>
    <w:rPr>
      <w:b/>
      <w:bCs/>
    </w:rPr>
  </w:style>
  <w:style w:type="character" w:customStyle="1" w:styleId="placeholder-mask">
    <w:name w:val="placeholder-mask"/>
    <w:basedOn w:val="a0"/>
    <w:rsid w:val="00F86BD8"/>
  </w:style>
  <w:style w:type="character" w:customStyle="1" w:styleId="placeholder">
    <w:name w:val="placeholder"/>
    <w:basedOn w:val="a0"/>
    <w:rsid w:val="00F8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63" Type="http://schemas.openxmlformats.org/officeDocument/2006/relationships/hyperlink" Target="https://m.edsoo.ru/ff0d5eba" TargetMode="External"/><Relationship Id="rId84" Type="http://schemas.openxmlformats.org/officeDocument/2006/relationships/hyperlink" Target="https://m.edsoo.ru/00adac34" TargetMode="External"/><Relationship Id="rId138" Type="http://schemas.openxmlformats.org/officeDocument/2006/relationships/hyperlink" Target="https://m.edsoo.ru/00ae1156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cb2" TargetMode="External"/><Relationship Id="rId128" Type="http://schemas.openxmlformats.org/officeDocument/2006/relationships/hyperlink" Target="https://m.edsoo.ru/00adfd9c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f34" TargetMode="External"/><Relationship Id="rId64" Type="http://schemas.openxmlformats.org/officeDocument/2006/relationships/hyperlink" Target="https://m.edsoo.ru/ff0d6342" TargetMode="External"/><Relationship Id="rId118" Type="http://schemas.openxmlformats.org/officeDocument/2006/relationships/hyperlink" Target="https://m.edsoo.ru/00adea28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db33c" TargetMode="External"/><Relationship Id="rId155" Type="http://schemas.openxmlformats.org/officeDocument/2006/relationships/hyperlink" Target="https://m.edsoo.ru/00ae3f5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54" Type="http://schemas.openxmlformats.org/officeDocument/2006/relationships/hyperlink" Target="https://m.edsoo.ru/ff0d50d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790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40c4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e4270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e4270" TargetMode="Externa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62" Type="http://schemas.openxmlformats.org/officeDocument/2006/relationships/hyperlink" Target="https://m.edsoo.ru/ff0d5b40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53" Type="http://schemas.openxmlformats.org/officeDocument/2006/relationships/hyperlink" Target="https://m.edsoo.ru/00adb33c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323c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8b2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52" Type="http://schemas.openxmlformats.org/officeDocument/2006/relationships/hyperlink" Target="https://m.edsoo.ru/ff0d4dd0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614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54" Type="http://schemas.openxmlformats.org/officeDocument/2006/relationships/hyperlink" Target="https://m.edsoo.ru/00adb33c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50c" TargetMode="External"/><Relationship Id="rId58" Type="http://schemas.openxmlformats.org/officeDocument/2006/relationships/hyperlink" Target="https://m.edsoo.ru/ff0d55a0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44" Type="http://schemas.openxmlformats.org/officeDocument/2006/relationships/hyperlink" Target="https://m.edsoo.ru/00ae1886" TargetMode="External"/><Relationship Id="rId90" Type="http://schemas.openxmlformats.org/officeDocument/2006/relationships/hyperlink" Target="https://m.edsoo.ru/00adb486" TargetMode="External"/><Relationship Id="rId27" Type="http://schemas.openxmlformats.org/officeDocument/2006/relationships/hyperlink" Target="https://m.edsoo.ru/ff0d227e" TargetMode="External"/><Relationship Id="rId48" Type="http://schemas.openxmlformats.org/officeDocument/2006/relationships/hyperlink" Target="https://m.edsoo.ru/ff0d497a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348" TargetMode="External"/><Relationship Id="rId134" Type="http://schemas.openxmlformats.org/officeDocument/2006/relationships/hyperlink" Target="https://m.edsoo.ru/00ae0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10939</Words>
  <Characters>62353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PK_0804022</cp:lastModifiedBy>
  <cp:revision>2</cp:revision>
  <dcterms:created xsi:type="dcterms:W3CDTF">2023-11-17T09:41:00Z</dcterms:created>
  <dcterms:modified xsi:type="dcterms:W3CDTF">2023-11-17T09:41:00Z</dcterms:modified>
</cp:coreProperties>
</file>